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EF2AFD" w:rsidRDefault="003C75E2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EF2AFD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EF2AFD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EF2AFD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38101F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38101F">
        <w:rPr>
          <w:rFonts w:ascii="Arial" w:hAnsi="Arial" w:cs="Arial"/>
          <w:b/>
          <w:sz w:val="24"/>
          <w:szCs w:val="24"/>
        </w:rPr>
        <w:t xml:space="preserve">ГОСТ </w:t>
      </w:r>
      <w:r w:rsidR="009970C9" w:rsidRPr="0038101F">
        <w:rPr>
          <w:rFonts w:ascii="Arial" w:hAnsi="Arial" w:cs="Arial"/>
          <w:b/>
          <w:sz w:val="24"/>
          <w:szCs w:val="24"/>
          <w:lang w:val="en-US"/>
        </w:rPr>
        <w:t>EN</w:t>
      </w:r>
      <w:r w:rsidR="00DA4600" w:rsidRPr="0038101F">
        <w:rPr>
          <w:rFonts w:ascii="Arial" w:hAnsi="Arial" w:cs="Arial"/>
          <w:b/>
          <w:sz w:val="24"/>
          <w:szCs w:val="24"/>
        </w:rPr>
        <w:t xml:space="preserve"> </w:t>
      </w:r>
      <w:r w:rsidR="0038101F" w:rsidRPr="0038101F">
        <w:rPr>
          <w:rFonts w:ascii="Arial" w:hAnsi="Arial" w:cs="Arial"/>
          <w:b/>
          <w:sz w:val="24"/>
          <w:szCs w:val="24"/>
        </w:rPr>
        <w:t>12757-1</w:t>
      </w:r>
      <w:r w:rsidR="009970C9" w:rsidRPr="0038101F">
        <w:rPr>
          <w:rFonts w:ascii="Arial" w:hAnsi="Arial" w:cs="Arial"/>
          <w:b/>
          <w:sz w:val="24"/>
          <w:szCs w:val="24"/>
        </w:rPr>
        <w:t xml:space="preserve"> </w:t>
      </w:r>
      <w:r w:rsidRPr="0038101F">
        <w:rPr>
          <w:rFonts w:ascii="Arial" w:hAnsi="Arial" w:cs="Arial"/>
          <w:b/>
          <w:sz w:val="24"/>
          <w:szCs w:val="24"/>
        </w:rPr>
        <w:t>«</w:t>
      </w:r>
      <w:r w:rsidR="0038101F" w:rsidRPr="0038101F">
        <w:rPr>
          <w:rFonts w:ascii="Arial" w:hAnsi="Arial" w:cs="Arial"/>
          <w:b/>
          <w:sz w:val="24"/>
          <w:szCs w:val="24"/>
        </w:rPr>
        <w:t>Машины для смешивания материалов для покрытий. Требования безопасности. Часть 1. Машины для смешивания, используемые для повторной отделки автомобиля</w:t>
      </w:r>
      <w:r w:rsidRPr="0038101F">
        <w:rPr>
          <w:rFonts w:ascii="Arial" w:hAnsi="Arial" w:cs="Arial"/>
          <w:b/>
          <w:sz w:val="24"/>
          <w:szCs w:val="24"/>
        </w:rPr>
        <w:t>»</w:t>
      </w:r>
    </w:p>
    <w:p w:rsidR="00FA6DAA" w:rsidRPr="009970C9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5E6AC3" w:rsidRPr="0038101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sz w:val="24"/>
          <w:szCs w:val="24"/>
        </w:rPr>
        <w:t xml:space="preserve">1) </w:t>
      </w:r>
      <w:r w:rsidRPr="00DA4600">
        <w:rPr>
          <w:rFonts w:ascii="Arial" w:hAnsi="Arial" w:cs="Arial"/>
          <w:sz w:val="24"/>
          <w:szCs w:val="24"/>
        </w:rPr>
        <w:t>Национал</w:t>
      </w:r>
      <w:r w:rsidR="005E6AC3" w:rsidRPr="00DA4600">
        <w:rPr>
          <w:rFonts w:ascii="Arial" w:hAnsi="Arial" w:cs="Arial"/>
          <w:sz w:val="24"/>
          <w:szCs w:val="24"/>
        </w:rPr>
        <w:t xml:space="preserve">ьный </w:t>
      </w:r>
      <w:r w:rsidR="005E6AC3" w:rsidRPr="00EF2AFD">
        <w:rPr>
          <w:rFonts w:ascii="Arial" w:hAnsi="Arial" w:cs="Arial"/>
          <w:sz w:val="24"/>
          <w:szCs w:val="24"/>
        </w:rPr>
        <w:t>план стандартизации на 2022</w:t>
      </w:r>
      <w:r w:rsidRPr="00EF2AFD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EF2AFD">
        <w:rPr>
          <w:rFonts w:ascii="Arial" w:hAnsi="Arial" w:cs="Arial"/>
          <w:sz w:val="24"/>
          <w:szCs w:val="24"/>
        </w:rPr>
        <w:t xml:space="preserve"> КТРМ </w:t>
      </w:r>
      <w:r w:rsidR="005E6AC3" w:rsidRPr="00EF2AFD">
        <w:rPr>
          <w:rFonts w:ascii="Arial" w:eastAsia="Times New Roman" w:hAnsi="Arial" w:cs="Arial"/>
          <w:sz w:val="24"/>
          <w:szCs w:val="24"/>
        </w:rPr>
        <w:t>от 30.12.</w:t>
      </w:r>
      <w:r w:rsidR="005E6AC3" w:rsidRPr="0038101F">
        <w:rPr>
          <w:rFonts w:ascii="Arial" w:eastAsia="Times New Roman" w:hAnsi="Arial" w:cs="Arial"/>
          <w:sz w:val="24"/>
          <w:szCs w:val="24"/>
        </w:rPr>
        <w:t xml:space="preserve">2021 г. </w:t>
      </w:r>
      <w:r w:rsidR="00D920C0" w:rsidRPr="0038101F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38101F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38101F">
        <w:rPr>
          <w:rFonts w:ascii="Arial" w:hAnsi="Arial" w:cs="Arial"/>
          <w:sz w:val="24"/>
          <w:szCs w:val="24"/>
        </w:rPr>
        <w:t xml:space="preserve">2) Программа межгосударственной стандартизации на </w:t>
      </w:r>
      <w:r w:rsidR="00D920C0" w:rsidRPr="0038101F">
        <w:rPr>
          <w:rFonts w:ascii="Arial" w:hAnsi="Arial" w:cs="Arial"/>
          <w:sz w:val="24"/>
          <w:szCs w:val="24"/>
        </w:rPr>
        <w:t>2022 – 2023 гг</w:t>
      </w:r>
      <w:r w:rsidRPr="0038101F">
        <w:rPr>
          <w:rFonts w:ascii="Arial" w:hAnsi="Arial" w:cs="Arial"/>
          <w:sz w:val="24"/>
          <w:szCs w:val="24"/>
        </w:rPr>
        <w:t>.</w:t>
      </w:r>
    </w:p>
    <w:p w:rsidR="00FA6DAA" w:rsidRPr="0038101F" w:rsidRDefault="00D920C0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38101F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38101F" w:rsidRPr="0038101F">
        <w:rPr>
          <w:rFonts w:ascii="Arial" w:hAnsi="Arial" w:cs="Arial"/>
          <w:sz w:val="24"/>
          <w:szCs w:val="24"/>
        </w:rPr>
        <w:t>KZ.1.195-2022</w:t>
      </w:r>
      <w:r w:rsidR="00DA4600" w:rsidRPr="0038101F">
        <w:rPr>
          <w:rFonts w:ascii="Arial" w:hAnsi="Arial" w:cs="Arial"/>
          <w:sz w:val="24"/>
          <w:szCs w:val="24"/>
        </w:rPr>
        <w:t>.</w:t>
      </w:r>
    </w:p>
    <w:p w:rsidR="00FA6DAA" w:rsidRPr="00BB3AFF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38101F" w:rsidRDefault="009970C9" w:rsidP="003B0974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EF2AFD">
        <w:rPr>
          <w:rFonts w:ascii="Arial" w:hAnsi="Arial" w:cs="Arial"/>
          <w:sz w:val="24"/>
          <w:szCs w:val="24"/>
        </w:rPr>
        <w:t xml:space="preserve">Объектом </w:t>
      </w:r>
      <w:r w:rsidRPr="0038101F">
        <w:rPr>
          <w:rFonts w:ascii="Arial" w:hAnsi="Arial" w:cs="Arial"/>
          <w:sz w:val="24"/>
          <w:szCs w:val="24"/>
        </w:rPr>
        <w:t>стандартизации явля</w:t>
      </w:r>
      <w:r w:rsidRPr="0038101F">
        <w:rPr>
          <w:rFonts w:ascii="Arial" w:hAnsi="Arial" w:cs="Arial"/>
          <w:sz w:val="24"/>
          <w:szCs w:val="24"/>
          <w:lang w:val="ru-RU"/>
        </w:rPr>
        <w:t>ю</w:t>
      </w:r>
      <w:r w:rsidR="00BB3AFF" w:rsidRPr="0038101F">
        <w:rPr>
          <w:rFonts w:ascii="Arial" w:hAnsi="Arial" w:cs="Arial"/>
          <w:sz w:val="24"/>
          <w:szCs w:val="24"/>
        </w:rPr>
        <w:t xml:space="preserve">тся </w:t>
      </w:r>
      <w:r w:rsidR="0038101F" w:rsidRPr="0038101F">
        <w:rPr>
          <w:rFonts w:ascii="Arial" w:hAnsi="Arial" w:cs="Arial"/>
          <w:sz w:val="24"/>
          <w:szCs w:val="24"/>
        </w:rPr>
        <w:t>машины для смешивания материалов для покрытий</w:t>
      </w:r>
      <w:r w:rsidR="0038101F">
        <w:rPr>
          <w:rFonts w:ascii="Arial" w:hAnsi="Arial" w:cs="Arial"/>
          <w:sz w:val="24"/>
          <w:szCs w:val="24"/>
          <w:lang w:val="ru-RU"/>
        </w:rPr>
        <w:t xml:space="preserve"> (смесительное оборудование)</w:t>
      </w:r>
      <w:r w:rsidR="00DA4600" w:rsidRPr="0038101F">
        <w:rPr>
          <w:rFonts w:ascii="Arial" w:hAnsi="Arial" w:cs="Arial"/>
          <w:sz w:val="24"/>
          <w:szCs w:val="24"/>
        </w:rPr>
        <w:t>.</w:t>
      </w:r>
    </w:p>
    <w:p w:rsidR="0038101F" w:rsidRPr="0038101F" w:rsidRDefault="00BB3AFF" w:rsidP="0038101F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38101F">
        <w:t xml:space="preserve">Аспектом стандартизации являются </w:t>
      </w:r>
      <w:r w:rsidR="0038101F" w:rsidRPr="0038101F">
        <w:rPr>
          <w:rStyle w:val="FontStyle57"/>
          <w:sz w:val="24"/>
          <w:szCs w:val="24"/>
          <w:lang w:eastAsia="en-US"/>
        </w:rPr>
        <w:t xml:space="preserve">требования к проектированию и изготовлению оборудования для смешивания жидких лакокрасочных материалов, оснащенного контейнером с максимальным объемом </w:t>
      </w:r>
      <w:proofErr w:type="gramStart"/>
      <w:r w:rsidR="0038101F" w:rsidRPr="0038101F">
        <w:rPr>
          <w:rStyle w:val="FontStyle57"/>
          <w:sz w:val="24"/>
          <w:szCs w:val="24"/>
          <w:lang w:eastAsia="en-US"/>
        </w:rPr>
        <w:t>&lt;</w:t>
      </w:r>
      <w:r w:rsidR="0038101F">
        <w:rPr>
          <w:rStyle w:val="FontStyle57"/>
          <w:sz w:val="24"/>
          <w:szCs w:val="24"/>
          <w:lang w:eastAsia="en-US"/>
        </w:rPr>
        <w:t xml:space="preserve"> </w:t>
      </w:r>
      <w:r w:rsidR="0038101F" w:rsidRPr="0038101F">
        <w:rPr>
          <w:rStyle w:val="FontStyle57"/>
          <w:sz w:val="24"/>
          <w:szCs w:val="24"/>
          <w:lang w:eastAsia="en-US"/>
        </w:rPr>
        <w:t>10</w:t>
      </w:r>
      <w:proofErr w:type="gramEnd"/>
      <w:r w:rsidR="0038101F" w:rsidRPr="0038101F">
        <w:rPr>
          <w:rStyle w:val="FontStyle57"/>
          <w:sz w:val="24"/>
          <w:szCs w:val="24"/>
          <w:lang w:eastAsia="en-US"/>
        </w:rPr>
        <w:t xml:space="preserve"> л, используемого авторемонтными мастерскими и их дистрибьюторами лакокрасочных материалов.</w:t>
      </w:r>
    </w:p>
    <w:p w:rsidR="00BB3AFF" w:rsidRPr="00DA4600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50612E" w:rsidRPr="0038101F" w:rsidRDefault="0050612E" w:rsidP="003B0974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38101F">
        <w:rPr>
          <w:rFonts w:ascii="Arial" w:hAnsi="Arial" w:cs="Arial"/>
          <w:color w:val="auto"/>
        </w:rPr>
        <w:t xml:space="preserve">Настоящий стандарт разрабатывается </w:t>
      </w:r>
      <w:r w:rsidR="009970C9" w:rsidRPr="0038101F">
        <w:rPr>
          <w:rFonts w:ascii="Arial" w:hAnsi="Arial" w:cs="Arial"/>
          <w:color w:val="auto"/>
        </w:rPr>
        <w:t xml:space="preserve">на основе </w:t>
      </w:r>
      <w:r w:rsidR="0038101F" w:rsidRPr="0038101F">
        <w:rPr>
          <w:rFonts w:ascii="Arial" w:hAnsi="Arial" w:cs="Arial"/>
          <w:color w:val="auto"/>
          <w:lang w:val="en-US"/>
        </w:rPr>
        <w:t>EN</w:t>
      </w:r>
      <w:r w:rsidR="0038101F" w:rsidRPr="0038101F">
        <w:rPr>
          <w:rFonts w:ascii="Arial" w:hAnsi="Arial" w:cs="Arial"/>
          <w:color w:val="auto"/>
        </w:rPr>
        <w:t xml:space="preserve"> </w:t>
      </w:r>
      <w:bookmarkStart w:id="1" w:name="_Hlk72853137"/>
      <w:r w:rsidR="0038101F" w:rsidRPr="0038101F">
        <w:rPr>
          <w:rFonts w:ascii="Arial" w:hAnsi="Arial" w:cs="Arial"/>
          <w:color w:val="auto"/>
        </w:rPr>
        <w:t>12757-1:2005+A1:2010 «Машины для смешивания материалов для покрытий. Требования безопасности. Часть 1. Машины для смешивания, используемые для повторной отделки автомобиля» («</w:t>
      </w:r>
      <w:bookmarkEnd w:id="1"/>
      <w:r w:rsidR="0038101F" w:rsidRPr="0038101F">
        <w:rPr>
          <w:rFonts w:ascii="Arial" w:hAnsi="Arial" w:cs="Arial"/>
          <w:color w:val="auto"/>
          <w:lang w:val="en-US"/>
        </w:rPr>
        <w:t>Mixing</w:t>
      </w:r>
      <w:r w:rsidR="0038101F" w:rsidRPr="0038101F">
        <w:rPr>
          <w:rFonts w:ascii="Arial" w:hAnsi="Arial" w:cs="Arial"/>
          <w:color w:val="auto"/>
        </w:rPr>
        <w:t xml:space="preserve"> </w:t>
      </w:r>
      <w:r w:rsidR="0038101F" w:rsidRPr="0038101F">
        <w:rPr>
          <w:rFonts w:ascii="Arial" w:hAnsi="Arial" w:cs="Arial"/>
          <w:color w:val="auto"/>
          <w:lang w:val="en-US"/>
        </w:rPr>
        <w:t>machinery</w:t>
      </w:r>
      <w:r w:rsidR="0038101F" w:rsidRPr="0038101F">
        <w:rPr>
          <w:rFonts w:ascii="Arial" w:hAnsi="Arial" w:cs="Arial"/>
          <w:color w:val="auto"/>
        </w:rPr>
        <w:t xml:space="preserve"> </w:t>
      </w:r>
      <w:r w:rsidR="0038101F" w:rsidRPr="0038101F">
        <w:rPr>
          <w:rFonts w:ascii="Arial" w:hAnsi="Arial" w:cs="Arial"/>
          <w:color w:val="auto"/>
          <w:lang w:val="en-US"/>
        </w:rPr>
        <w:t>for</w:t>
      </w:r>
      <w:r w:rsidR="0038101F" w:rsidRPr="0038101F">
        <w:rPr>
          <w:rFonts w:ascii="Arial" w:hAnsi="Arial" w:cs="Arial"/>
          <w:color w:val="auto"/>
        </w:rPr>
        <w:t xml:space="preserve"> </w:t>
      </w:r>
      <w:r w:rsidR="0038101F" w:rsidRPr="0038101F">
        <w:rPr>
          <w:rFonts w:ascii="Arial" w:hAnsi="Arial" w:cs="Arial"/>
          <w:color w:val="auto"/>
          <w:lang w:val="en-US"/>
        </w:rPr>
        <w:t>coating</w:t>
      </w:r>
      <w:r w:rsidR="0038101F" w:rsidRPr="0038101F">
        <w:rPr>
          <w:rFonts w:ascii="Arial" w:hAnsi="Arial" w:cs="Arial"/>
          <w:color w:val="auto"/>
        </w:rPr>
        <w:t xml:space="preserve"> </w:t>
      </w:r>
      <w:r w:rsidR="0038101F" w:rsidRPr="0038101F">
        <w:rPr>
          <w:rFonts w:ascii="Arial" w:hAnsi="Arial" w:cs="Arial"/>
          <w:color w:val="auto"/>
          <w:lang w:val="en-US"/>
        </w:rPr>
        <w:t>materials</w:t>
      </w:r>
      <w:r w:rsidR="0038101F" w:rsidRPr="0038101F">
        <w:rPr>
          <w:rFonts w:ascii="Arial" w:hAnsi="Arial" w:cs="Arial"/>
          <w:color w:val="auto"/>
        </w:rPr>
        <w:t xml:space="preserve"> - </w:t>
      </w:r>
      <w:r w:rsidR="0038101F" w:rsidRPr="0038101F">
        <w:rPr>
          <w:rFonts w:ascii="Arial" w:hAnsi="Arial" w:cs="Arial"/>
          <w:color w:val="auto"/>
          <w:lang w:val="en-US"/>
        </w:rPr>
        <w:t>Safety</w:t>
      </w:r>
      <w:r w:rsidR="0038101F" w:rsidRPr="0038101F">
        <w:rPr>
          <w:rFonts w:ascii="Arial" w:hAnsi="Arial" w:cs="Arial"/>
          <w:color w:val="auto"/>
        </w:rPr>
        <w:t xml:space="preserve"> </w:t>
      </w:r>
      <w:r w:rsidR="0038101F" w:rsidRPr="0038101F">
        <w:rPr>
          <w:rFonts w:ascii="Arial" w:hAnsi="Arial" w:cs="Arial"/>
          <w:color w:val="auto"/>
          <w:lang w:val="en-US"/>
        </w:rPr>
        <w:t>requirements</w:t>
      </w:r>
      <w:r w:rsidR="0038101F" w:rsidRPr="0038101F">
        <w:rPr>
          <w:rFonts w:ascii="Arial" w:hAnsi="Arial" w:cs="Arial"/>
          <w:color w:val="auto"/>
        </w:rPr>
        <w:t xml:space="preserve"> - </w:t>
      </w:r>
      <w:r w:rsidR="0038101F" w:rsidRPr="0038101F">
        <w:rPr>
          <w:rFonts w:ascii="Arial" w:hAnsi="Arial" w:cs="Arial"/>
          <w:color w:val="auto"/>
          <w:lang w:val="en-US"/>
        </w:rPr>
        <w:t>Part</w:t>
      </w:r>
      <w:r w:rsidR="0038101F" w:rsidRPr="0038101F">
        <w:rPr>
          <w:rFonts w:ascii="Arial" w:hAnsi="Arial" w:cs="Arial"/>
          <w:color w:val="auto"/>
        </w:rPr>
        <w:t xml:space="preserve"> 1: </w:t>
      </w:r>
      <w:r w:rsidR="0038101F" w:rsidRPr="0038101F">
        <w:rPr>
          <w:rFonts w:ascii="Arial" w:hAnsi="Arial" w:cs="Arial"/>
          <w:color w:val="auto"/>
          <w:lang w:val="en-US"/>
        </w:rPr>
        <w:t>Mixing</w:t>
      </w:r>
      <w:r w:rsidR="0038101F" w:rsidRPr="0038101F">
        <w:rPr>
          <w:rFonts w:ascii="Arial" w:hAnsi="Arial" w:cs="Arial"/>
          <w:color w:val="auto"/>
        </w:rPr>
        <w:t xml:space="preserve"> </w:t>
      </w:r>
      <w:r w:rsidR="0038101F" w:rsidRPr="0038101F">
        <w:rPr>
          <w:rFonts w:ascii="Arial" w:hAnsi="Arial" w:cs="Arial"/>
          <w:color w:val="auto"/>
          <w:lang w:val="en-US"/>
        </w:rPr>
        <w:t>machinery</w:t>
      </w:r>
      <w:r w:rsidR="0038101F" w:rsidRPr="0038101F">
        <w:rPr>
          <w:rFonts w:ascii="Arial" w:hAnsi="Arial" w:cs="Arial"/>
          <w:color w:val="auto"/>
        </w:rPr>
        <w:t xml:space="preserve"> </w:t>
      </w:r>
      <w:r w:rsidR="0038101F" w:rsidRPr="0038101F">
        <w:rPr>
          <w:rFonts w:ascii="Arial" w:hAnsi="Arial" w:cs="Arial"/>
          <w:color w:val="auto"/>
          <w:lang w:val="en-US"/>
        </w:rPr>
        <w:t>for</w:t>
      </w:r>
      <w:r w:rsidR="0038101F" w:rsidRPr="0038101F">
        <w:rPr>
          <w:rFonts w:ascii="Arial" w:hAnsi="Arial" w:cs="Arial"/>
          <w:color w:val="auto"/>
        </w:rPr>
        <w:t xml:space="preserve"> </w:t>
      </w:r>
      <w:r w:rsidR="0038101F" w:rsidRPr="0038101F">
        <w:rPr>
          <w:rFonts w:ascii="Arial" w:hAnsi="Arial" w:cs="Arial"/>
          <w:color w:val="auto"/>
          <w:lang w:val="en-US"/>
        </w:rPr>
        <w:t>use</w:t>
      </w:r>
      <w:r w:rsidR="0038101F" w:rsidRPr="0038101F">
        <w:rPr>
          <w:rFonts w:ascii="Arial" w:hAnsi="Arial" w:cs="Arial"/>
          <w:color w:val="auto"/>
        </w:rPr>
        <w:t xml:space="preserve"> </w:t>
      </w:r>
      <w:r w:rsidR="0038101F" w:rsidRPr="0038101F">
        <w:rPr>
          <w:rFonts w:ascii="Arial" w:hAnsi="Arial" w:cs="Arial"/>
          <w:color w:val="auto"/>
          <w:lang w:val="en-US"/>
        </w:rPr>
        <w:t>in</w:t>
      </w:r>
      <w:r w:rsidR="0038101F" w:rsidRPr="0038101F">
        <w:rPr>
          <w:rFonts w:ascii="Arial" w:hAnsi="Arial" w:cs="Arial"/>
          <w:color w:val="auto"/>
        </w:rPr>
        <w:t xml:space="preserve"> </w:t>
      </w:r>
      <w:r w:rsidR="0038101F" w:rsidRPr="0038101F">
        <w:rPr>
          <w:rFonts w:ascii="Arial" w:hAnsi="Arial" w:cs="Arial"/>
          <w:color w:val="auto"/>
          <w:lang w:val="en-US"/>
        </w:rPr>
        <w:t>vehicle</w:t>
      </w:r>
      <w:r w:rsidR="0038101F" w:rsidRPr="0038101F">
        <w:rPr>
          <w:rFonts w:ascii="Arial" w:hAnsi="Arial" w:cs="Arial"/>
          <w:color w:val="auto"/>
        </w:rPr>
        <w:t xml:space="preserve"> </w:t>
      </w:r>
      <w:r w:rsidR="0038101F" w:rsidRPr="0038101F">
        <w:rPr>
          <w:rFonts w:ascii="Arial" w:hAnsi="Arial" w:cs="Arial"/>
          <w:color w:val="auto"/>
          <w:lang w:val="en-US"/>
        </w:rPr>
        <w:t>refinishing</w:t>
      </w:r>
      <w:r w:rsidR="0038101F" w:rsidRPr="0038101F">
        <w:rPr>
          <w:rFonts w:ascii="Arial" w:hAnsi="Arial" w:cs="Arial"/>
          <w:color w:val="auto"/>
        </w:rPr>
        <w:t>»)</w:t>
      </w:r>
      <w:r w:rsidRPr="0038101F">
        <w:rPr>
          <w:rFonts w:ascii="Arial" w:hAnsi="Arial" w:cs="Arial"/>
          <w:color w:val="auto"/>
        </w:rPr>
        <w:t xml:space="preserve"> в целях реализации </w:t>
      </w:r>
      <w:r w:rsidR="009970C9" w:rsidRPr="0038101F">
        <w:rPr>
          <w:rFonts w:ascii="Arial" w:hAnsi="Arial" w:cs="Arial"/>
          <w:color w:val="auto"/>
        </w:rPr>
        <w:t xml:space="preserve">статей 4 «Обеспечение безопасности машин и (или) оборудования при разработке (проектировании)» и </w:t>
      </w:r>
      <w:hyperlink r:id="rId7" w:history="1">
        <w:r w:rsidR="009970C9" w:rsidRPr="0038101F">
          <w:rPr>
            <w:rFonts w:ascii="Arial" w:hAnsi="Arial" w:cs="Arial"/>
            <w:color w:val="auto"/>
          </w:rPr>
          <w:t>5</w:t>
        </w:r>
      </w:hyperlink>
      <w:r w:rsidR="009970C9" w:rsidRPr="0038101F">
        <w:rPr>
          <w:rFonts w:ascii="Arial" w:hAnsi="Arial" w:cs="Arial"/>
          <w:color w:val="auto"/>
        </w:rPr>
        <w:t xml:space="preserve"> «Обеспечение безопасности машин и (или</w:t>
      </w:r>
      <w:r w:rsidR="009970C9" w:rsidRPr="00EF2AFD">
        <w:rPr>
          <w:rFonts w:ascii="Arial" w:hAnsi="Arial" w:cs="Arial"/>
        </w:rPr>
        <w:t>) оборудования при изготовлении, хранении, транспортировании, эксплуатации и утилизации</w:t>
      </w:r>
      <w:r w:rsidR="009970C9" w:rsidRPr="00EF2AFD">
        <w:rPr>
          <w:rFonts w:ascii="Arial" w:hAnsi="Arial" w:cs="Arial"/>
          <w:color w:val="auto"/>
        </w:rPr>
        <w:t>», приложений № 1 «</w:t>
      </w:r>
      <w:r w:rsidR="009970C9" w:rsidRPr="00EF2AFD">
        <w:rPr>
          <w:rFonts w:ascii="Arial" w:hAnsi="Arial" w:cs="Arial"/>
        </w:rPr>
        <w:t>Основные требования 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38101F">
        <w:rPr>
          <w:rFonts w:ascii="Arial" w:hAnsi="Arial" w:cs="Arial"/>
        </w:rPr>
        <w:t>оборудования</w:t>
      </w:r>
      <w:r w:rsidR="009970C9" w:rsidRPr="0038101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38101F">
          <w:rPr>
            <w:rFonts w:ascii="Arial" w:hAnsi="Arial" w:cs="Arial"/>
            <w:color w:val="auto"/>
          </w:rPr>
          <w:t>№ 2</w:t>
        </w:r>
      </w:hyperlink>
      <w:r w:rsidR="009970C9" w:rsidRPr="0038101F">
        <w:rPr>
          <w:rFonts w:ascii="Arial" w:hAnsi="Arial" w:cs="Arial"/>
          <w:color w:val="auto"/>
        </w:rPr>
        <w:t xml:space="preserve"> «</w:t>
      </w:r>
      <w:r w:rsidR="009970C9" w:rsidRPr="0038101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38101F">
        <w:rPr>
          <w:rFonts w:ascii="Arial" w:hAnsi="Arial" w:cs="Arial"/>
          <w:color w:val="auto"/>
        </w:rPr>
        <w:t>» ТР ТС 010/2011 «</w:t>
      </w:r>
      <w:r w:rsidR="009970C9" w:rsidRPr="0038101F">
        <w:rPr>
          <w:rFonts w:ascii="Arial" w:hAnsi="Arial" w:cs="Arial"/>
        </w:rPr>
        <w:t>О безопасности машин и оборудования</w:t>
      </w:r>
      <w:r w:rsidR="009970C9" w:rsidRPr="0038101F">
        <w:rPr>
          <w:rFonts w:ascii="Arial" w:hAnsi="Arial" w:cs="Arial"/>
          <w:color w:val="auto"/>
        </w:rPr>
        <w:t>»</w:t>
      </w:r>
      <w:r w:rsidRPr="0038101F">
        <w:rPr>
          <w:rFonts w:ascii="Arial" w:hAnsi="Arial" w:cs="Arial"/>
          <w:shd w:val="clear" w:color="auto" w:fill="FFFFFF"/>
        </w:rPr>
        <w:t>.</w:t>
      </w:r>
      <w:r w:rsidR="00EF2AFD" w:rsidRPr="0038101F">
        <w:rPr>
          <w:rFonts w:ascii="Arial" w:hAnsi="Arial" w:cs="Arial"/>
          <w:shd w:val="clear" w:color="auto" w:fill="FFFFFF"/>
        </w:rPr>
        <w:t xml:space="preserve"> </w:t>
      </w:r>
    </w:p>
    <w:p w:rsidR="0038101F" w:rsidRPr="0038101F" w:rsidRDefault="0038101F" w:rsidP="0038101F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 w:rsidRPr="0038101F">
        <w:rPr>
          <w:rStyle w:val="FontStyle57"/>
          <w:sz w:val="24"/>
          <w:szCs w:val="24"/>
          <w:lang w:eastAsia="en-US"/>
        </w:rPr>
        <w:t>Настоящий стандарт является частью серии документов, устанавливающих требования по охране труда, технике безопасности и охране окружающей среды к устройствам, агрегатам и оборудованию для нанесения покрытий:</w:t>
      </w:r>
    </w:p>
    <w:p w:rsidR="0038101F" w:rsidRPr="0038101F" w:rsidRDefault="0038101F" w:rsidP="0038101F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>
        <w:rPr>
          <w:rStyle w:val="FontStyle57"/>
          <w:sz w:val="24"/>
          <w:szCs w:val="24"/>
          <w:lang w:eastAsia="en-US"/>
        </w:rPr>
        <w:t>-</w:t>
      </w:r>
      <w:r w:rsidRPr="0038101F">
        <w:rPr>
          <w:rStyle w:val="FontStyle57"/>
          <w:sz w:val="24"/>
          <w:szCs w:val="24"/>
          <w:lang w:eastAsia="en-US"/>
        </w:rPr>
        <w:t xml:space="preserve"> </w:t>
      </w:r>
      <w:r w:rsidRPr="0038101F">
        <w:rPr>
          <w:rStyle w:val="FontStyle57"/>
          <w:sz w:val="24"/>
          <w:szCs w:val="24"/>
          <w:lang w:val="en-US" w:eastAsia="en-US"/>
        </w:rPr>
        <w:t>EN</w:t>
      </w:r>
      <w:r w:rsidRPr="0038101F">
        <w:rPr>
          <w:rStyle w:val="FontStyle57"/>
          <w:sz w:val="24"/>
          <w:szCs w:val="24"/>
          <w:lang w:eastAsia="en-US"/>
        </w:rPr>
        <w:t xml:space="preserve"> 1953 «Оборудование для распыления материалов для покрытий. Требования безопасности»;</w:t>
      </w:r>
    </w:p>
    <w:p w:rsidR="0038101F" w:rsidRPr="0038101F" w:rsidRDefault="0038101F" w:rsidP="0038101F">
      <w:pPr>
        <w:pStyle w:val="Style21"/>
        <w:widowControl/>
        <w:ind w:firstLine="567"/>
        <w:jc w:val="both"/>
        <w:rPr>
          <w:rStyle w:val="FontStyle57"/>
          <w:sz w:val="24"/>
          <w:szCs w:val="24"/>
          <w:lang w:eastAsia="en-US"/>
        </w:rPr>
      </w:pPr>
      <w:r>
        <w:rPr>
          <w:rStyle w:val="FontStyle57"/>
          <w:sz w:val="24"/>
          <w:szCs w:val="24"/>
          <w:lang w:eastAsia="en-US"/>
        </w:rPr>
        <w:t>-</w:t>
      </w:r>
      <w:r w:rsidRPr="0038101F">
        <w:rPr>
          <w:rStyle w:val="FontStyle57"/>
          <w:sz w:val="24"/>
          <w:szCs w:val="24"/>
          <w:lang w:eastAsia="en-US"/>
        </w:rPr>
        <w:t xml:space="preserve"> </w:t>
      </w:r>
      <w:r w:rsidRPr="0038101F">
        <w:rPr>
          <w:rStyle w:val="FontStyle57"/>
          <w:sz w:val="24"/>
          <w:szCs w:val="24"/>
          <w:lang w:val="en-US" w:eastAsia="en-US"/>
        </w:rPr>
        <w:t>EN</w:t>
      </w:r>
      <w:r w:rsidRPr="0038101F">
        <w:rPr>
          <w:rStyle w:val="FontStyle57"/>
          <w:sz w:val="24"/>
          <w:szCs w:val="24"/>
          <w:lang w:eastAsia="en-US"/>
        </w:rPr>
        <w:t xml:space="preserve"> 12621 «Машины для подачи и циркуляции покровных материалов под давлением. Требования безопасности»;</w:t>
      </w:r>
    </w:p>
    <w:p w:rsidR="008F1444" w:rsidRPr="0038101F" w:rsidRDefault="0038101F" w:rsidP="0038101F">
      <w:pPr>
        <w:pStyle w:val="Style21"/>
        <w:widowControl/>
        <w:ind w:firstLine="567"/>
        <w:jc w:val="both"/>
        <w:rPr>
          <w:rStyle w:val="FontStyle132"/>
          <w:rFonts w:ascii="Arial" w:hAnsi="Arial" w:cs="Arial"/>
          <w:sz w:val="24"/>
          <w:szCs w:val="24"/>
          <w:lang w:eastAsia="en-US"/>
        </w:rPr>
      </w:pPr>
      <w:r>
        <w:rPr>
          <w:rStyle w:val="FontStyle57"/>
          <w:sz w:val="24"/>
          <w:szCs w:val="24"/>
          <w:lang w:eastAsia="en-US"/>
        </w:rPr>
        <w:t>-</w:t>
      </w:r>
      <w:r w:rsidRPr="0038101F">
        <w:rPr>
          <w:rStyle w:val="FontStyle57"/>
          <w:sz w:val="24"/>
          <w:szCs w:val="24"/>
          <w:lang w:eastAsia="en-US"/>
        </w:rPr>
        <w:t xml:space="preserve"> </w:t>
      </w:r>
      <w:r w:rsidRPr="0038101F">
        <w:rPr>
          <w:rStyle w:val="FontStyle57"/>
          <w:sz w:val="24"/>
          <w:szCs w:val="24"/>
          <w:lang w:val="en-US" w:eastAsia="en-US"/>
        </w:rPr>
        <w:t>EN</w:t>
      </w:r>
      <w:r w:rsidRPr="0038101F">
        <w:rPr>
          <w:rStyle w:val="FontStyle57"/>
          <w:sz w:val="24"/>
          <w:szCs w:val="24"/>
          <w:lang w:eastAsia="en-US"/>
        </w:rPr>
        <w:t xml:space="preserve"> 12757-1 «Часть 1. Смешивающие машины, используемые для повторной отделки автомобиля. Требования безопасности».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101F">
        <w:rPr>
          <w:rFonts w:ascii="Arial" w:hAnsi="Arial" w:cs="Arial"/>
          <w:sz w:val="24"/>
          <w:szCs w:val="24"/>
        </w:rPr>
        <w:t>Принятие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lastRenderedPageBreak/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DF1450" w:rsidRDefault="000E6071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DF1450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DF1450" w:rsidRPr="00DF1450" w:rsidRDefault="00DF1450" w:rsidP="00DF1450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eastAsia="en-US"/>
        </w:rPr>
      </w:pPr>
      <w:r w:rsidRPr="00DF1450">
        <w:rPr>
          <w:rStyle w:val="FontStyle57"/>
          <w:sz w:val="24"/>
          <w:szCs w:val="24"/>
          <w:lang w:val="en-US" w:eastAsia="en-US"/>
        </w:rPr>
        <w:t xml:space="preserve">EN 953, </w:t>
      </w:r>
      <w:r w:rsidRPr="00DF1450">
        <w:rPr>
          <w:lang w:val="en-US"/>
        </w:rPr>
        <w:t>Safety of machinery — Guards — General requirements for the design and construction of fixed and movable guards (</w:t>
      </w:r>
      <w:r w:rsidRPr="00DF1450">
        <w:rPr>
          <w:rStyle w:val="FontStyle56"/>
          <w:i w:val="0"/>
          <w:sz w:val="24"/>
          <w:szCs w:val="24"/>
          <w:lang w:eastAsia="en-US"/>
        </w:rPr>
        <w:t>Безопасность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машин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и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механизмов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Pr="00DF1450">
        <w:rPr>
          <w:rStyle w:val="FontStyle56"/>
          <w:i w:val="0"/>
          <w:sz w:val="24"/>
          <w:szCs w:val="24"/>
          <w:lang w:eastAsia="en-US"/>
        </w:rPr>
        <w:t>Защитные ограждения. Общие требования к форме и конструкции стационарных и подвижных защитных ограждений</w:t>
      </w:r>
      <w:r w:rsidRPr="00DF1450">
        <w:rPr>
          <w:rStyle w:val="FontStyle56"/>
          <w:sz w:val="24"/>
          <w:szCs w:val="24"/>
          <w:lang w:eastAsia="en-US"/>
        </w:rPr>
        <w:t>)</w:t>
      </w:r>
    </w:p>
    <w:p w:rsidR="00DF1450" w:rsidRPr="00DF1450" w:rsidRDefault="00DF1450" w:rsidP="00DF1450">
      <w:pPr>
        <w:pStyle w:val="Style36"/>
        <w:widowControl/>
        <w:ind w:firstLine="567"/>
        <w:jc w:val="both"/>
        <w:rPr>
          <w:rStyle w:val="FontStyle56"/>
          <w:i w:val="0"/>
          <w:sz w:val="24"/>
          <w:szCs w:val="24"/>
          <w:lang w:val="en-US" w:eastAsia="en-US"/>
        </w:rPr>
      </w:pPr>
      <w:r w:rsidRPr="00DF1450">
        <w:rPr>
          <w:rStyle w:val="FontStyle57"/>
          <w:sz w:val="24"/>
          <w:szCs w:val="24"/>
          <w:lang w:val="en-US" w:eastAsia="en-US"/>
        </w:rPr>
        <w:t xml:space="preserve">EN 954-1, </w:t>
      </w:r>
      <w:r w:rsidRPr="00DF1450">
        <w:rPr>
          <w:lang w:val="en-US"/>
        </w:rPr>
        <w:t>Safety of machinery — Safety-related parts of control systems — Part 1: General principles for design (</w:t>
      </w:r>
      <w:r w:rsidRPr="00DF1450">
        <w:rPr>
          <w:rStyle w:val="FontStyle56"/>
          <w:i w:val="0"/>
          <w:sz w:val="24"/>
          <w:szCs w:val="24"/>
          <w:lang w:eastAsia="en-US"/>
        </w:rPr>
        <w:t>Безопасность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машин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Pr="00DF1450">
        <w:rPr>
          <w:rStyle w:val="FontStyle56"/>
          <w:i w:val="0"/>
          <w:sz w:val="24"/>
          <w:szCs w:val="24"/>
          <w:lang w:eastAsia="en-US"/>
        </w:rPr>
        <w:t>Детали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систем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управления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, </w:t>
      </w:r>
      <w:r w:rsidRPr="00DF1450">
        <w:rPr>
          <w:rStyle w:val="FontStyle56"/>
          <w:i w:val="0"/>
          <w:sz w:val="24"/>
          <w:szCs w:val="24"/>
          <w:lang w:eastAsia="en-US"/>
        </w:rPr>
        <w:t>обеспечивающие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безопасность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Pr="00DF1450">
        <w:rPr>
          <w:rStyle w:val="FontStyle56"/>
          <w:i w:val="0"/>
          <w:sz w:val="24"/>
          <w:szCs w:val="24"/>
          <w:lang w:eastAsia="en-US"/>
        </w:rPr>
        <w:t>Часть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1. </w:t>
      </w:r>
      <w:r w:rsidRPr="00DF1450">
        <w:rPr>
          <w:rStyle w:val="FontStyle56"/>
          <w:i w:val="0"/>
          <w:sz w:val="24"/>
          <w:szCs w:val="24"/>
          <w:lang w:eastAsia="en-US"/>
        </w:rPr>
        <w:t>Основные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принципы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конструкции</w:t>
      </w:r>
      <w:r w:rsidRPr="00DF1450">
        <w:rPr>
          <w:rStyle w:val="FontStyle56"/>
          <w:sz w:val="24"/>
          <w:szCs w:val="24"/>
          <w:lang w:val="en-US" w:eastAsia="en-US"/>
        </w:rPr>
        <w:t>)</w:t>
      </w:r>
    </w:p>
    <w:p w:rsidR="00DF1450" w:rsidRPr="00DF1450" w:rsidRDefault="00DF1450" w:rsidP="00DF1450">
      <w:pPr>
        <w:pStyle w:val="Style36"/>
        <w:widowControl/>
        <w:ind w:firstLine="567"/>
        <w:jc w:val="both"/>
        <w:rPr>
          <w:rStyle w:val="FontStyle56"/>
          <w:sz w:val="24"/>
          <w:szCs w:val="24"/>
          <w:lang w:val="en-US" w:eastAsia="en-US"/>
        </w:rPr>
      </w:pPr>
      <w:r w:rsidRPr="00DF1450">
        <w:rPr>
          <w:rStyle w:val="FontStyle57"/>
          <w:sz w:val="24"/>
          <w:szCs w:val="24"/>
          <w:lang w:val="en-US" w:eastAsia="en-US"/>
        </w:rPr>
        <w:t xml:space="preserve">EN 971-1:1996, </w:t>
      </w:r>
      <w:r w:rsidRPr="00DF1450">
        <w:rPr>
          <w:lang w:val="en-US"/>
        </w:rPr>
        <w:t>Paints and varnishes — Terms and definitions for coating materials — Part 1: General terms (</w:t>
      </w:r>
      <w:r w:rsidRPr="00DF1450">
        <w:rPr>
          <w:rStyle w:val="FontStyle56"/>
          <w:i w:val="0"/>
          <w:sz w:val="24"/>
          <w:szCs w:val="24"/>
          <w:lang w:eastAsia="en-US"/>
        </w:rPr>
        <w:t>Условия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и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определения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для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материалов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покрытия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- </w:t>
      </w:r>
      <w:r w:rsidRPr="00DF1450">
        <w:rPr>
          <w:rStyle w:val="FontStyle56"/>
          <w:i w:val="0"/>
          <w:sz w:val="24"/>
          <w:szCs w:val="24"/>
          <w:lang w:eastAsia="en-US"/>
        </w:rPr>
        <w:t>Часть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1: </w:t>
      </w:r>
      <w:r w:rsidRPr="00DF1450">
        <w:rPr>
          <w:rStyle w:val="FontStyle56"/>
          <w:i w:val="0"/>
          <w:sz w:val="24"/>
          <w:szCs w:val="24"/>
          <w:lang w:eastAsia="en-US"/>
        </w:rPr>
        <w:t>Общие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термины</w:t>
      </w:r>
      <w:r w:rsidRPr="00DF1450">
        <w:rPr>
          <w:rStyle w:val="FontStyle56"/>
          <w:sz w:val="24"/>
          <w:szCs w:val="24"/>
          <w:lang w:val="en-US" w:eastAsia="en-US"/>
        </w:rPr>
        <w:t>)</w:t>
      </w:r>
    </w:p>
    <w:p w:rsidR="00DF1450" w:rsidRPr="00DF1450" w:rsidRDefault="00DF1450" w:rsidP="00DF1450">
      <w:pPr>
        <w:pStyle w:val="Style36"/>
        <w:widowControl/>
        <w:ind w:firstLine="567"/>
        <w:jc w:val="both"/>
        <w:rPr>
          <w:rStyle w:val="FontStyle56"/>
          <w:sz w:val="24"/>
          <w:szCs w:val="24"/>
          <w:lang w:eastAsia="en-US"/>
        </w:rPr>
      </w:pPr>
      <w:r w:rsidRPr="00DF1450">
        <w:rPr>
          <w:rStyle w:val="FontStyle57"/>
          <w:sz w:val="24"/>
          <w:szCs w:val="24"/>
          <w:lang w:val="en-US" w:eastAsia="en-US"/>
        </w:rPr>
        <w:t xml:space="preserve">EN 982:1996, </w:t>
      </w:r>
      <w:r w:rsidRPr="00DF1450">
        <w:rPr>
          <w:lang w:val="en-US"/>
        </w:rPr>
        <w:t>Safety of machinery — Safety requirements for fluid power systems and their components — Hydraulics (</w:t>
      </w:r>
      <w:r w:rsidRPr="00DF1450">
        <w:rPr>
          <w:rStyle w:val="FontStyle56"/>
          <w:i w:val="0"/>
          <w:sz w:val="24"/>
          <w:szCs w:val="24"/>
          <w:lang w:eastAsia="en-US"/>
        </w:rPr>
        <w:t>Безопасность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машин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и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механизмов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Pr="00DF1450">
        <w:rPr>
          <w:rStyle w:val="FontStyle56"/>
          <w:i w:val="0"/>
          <w:sz w:val="24"/>
          <w:szCs w:val="24"/>
          <w:lang w:eastAsia="en-US"/>
        </w:rPr>
        <w:t>Требования безопасности гидравлических и пневматических систем и их компонентов. Гидравлика</w:t>
      </w:r>
      <w:r w:rsidRPr="00DF1450">
        <w:rPr>
          <w:rStyle w:val="FontStyle56"/>
          <w:sz w:val="24"/>
          <w:szCs w:val="24"/>
          <w:lang w:eastAsia="en-US"/>
        </w:rPr>
        <w:t>)</w:t>
      </w:r>
    </w:p>
    <w:p w:rsidR="00DF1450" w:rsidRPr="00DF1450" w:rsidRDefault="00DF1450" w:rsidP="00DF1450">
      <w:pPr>
        <w:pStyle w:val="Style36"/>
        <w:widowControl/>
        <w:ind w:firstLine="567"/>
        <w:jc w:val="both"/>
        <w:rPr>
          <w:rStyle w:val="FontStyle56"/>
          <w:sz w:val="24"/>
          <w:szCs w:val="24"/>
          <w:lang w:eastAsia="en-US"/>
        </w:rPr>
      </w:pPr>
      <w:r w:rsidRPr="00DF1450">
        <w:rPr>
          <w:rStyle w:val="FontStyle57"/>
          <w:sz w:val="24"/>
          <w:szCs w:val="24"/>
          <w:lang w:val="en-US" w:eastAsia="en-US"/>
        </w:rPr>
        <w:t xml:space="preserve">EN 983:1996, </w:t>
      </w:r>
      <w:r w:rsidRPr="00DF1450">
        <w:rPr>
          <w:lang w:val="en-US"/>
        </w:rPr>
        <w:t>Safety of machinery — Safety requirements for fluid power systems and their components — Pneumatics (</w:t>
      </w:r>
      <w:r w:rsidRPr="00DF1450">
        <w:rPr>
          <w:rStyle w:val="FontStyle56"/>
          <w:i w:val="0"/>
          <w:sz w:val="24"/>
          <w:szCs w:val="24"/>
          <w:lang w:eastAsia="en-US"/>
        </w:rPr>
        <w:t>Безопасность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машин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и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механизмов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Pr="00DF1450">
        <w:rPr>
          <w:rStyle w:val="FontStyle56"/>
          <w:i w:val="0"/>
          <w:sz w:val="24"/>
          <w:szCs w:val="24"/>
          <w:lang w:eastAsia="en-US"/>
        </w:rPr>
        <w:t>Требования безопасности гидравлических и пневматических систем и их компонентов. Пневматика</w:t>
      </w:r>
      <w:r w:rsidRPr="00DF1450">
        <w:rPr>
          <w:rStyle w:val="FontStyle56"/>
          <w:sz w:val="24"/>
          <w:szCs w:val="24"/>
          <w:lang w:eastAsia="en-US"/>
        </w:rPr>
        <w:t>)</w:t>
      </w:r>
    </w:p>
    <w:p w:rsidR="00DF1450" w:rsidRPr="00DF1450" w:rsidRDefault="00DF1450" w:rsidP="00DF1450">
      <w:pPr>
        <w:pStyle w:val="Style36"/>
        <w:widowControl/>
        <w:ind w:firstLine="567"/>
        <w:jc w:val="both"/>
        <w:rPr>
          <w:rStyle w:val="FontStyle56"/>
          <w:sz w:val="24"/>
          <w:szCs w:val="24"/>
          <w:lang w:eastAsia="en-US"/>
        </w:rPr>
      </w:pPr>
      <w:r w:rsidRPr="00DF1450">
        <w:rPr>
          <w:rStyle w:val="FontStyle57"/>
          <w:sz w:val="24"/>
          <w:szCs w:val="24"/>
          <w:lang w:val="en-US" w:eastAsia="en-US"/>
        </w:rPr>
        <w:t xml:space="preserve">EN 1127-1:2007, </w:t>
      </w:r>
      <w:r w:rsidRPr="00DF1450">
        <w:rPr>
          <w:lang w:val="en-US"/>
        </w:rPr>
        <w:t>Explosive atmospheres — Explosion prevention and protection — Part 1: Basic concepts and methodology (</w:t>
      </w:r>
      <w:r w:rsidRPr="00DF1450">
        <w:rPr>
          <w:rStyle w:val="FontStyle56"/>
          <w:i w:val="0"/>
          <w:sz w:val="24"/>
          <w:szCs w:val="24"/>
          <w:lang w:eastAsia="en-US"/>
        </w:rPr>
        <w:t>Взрывоопасные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атмосферы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Pr="00DF1450">
        <w:rPr>
          <w:rStyle w:val="FontStyle56"/>
          <w:i w:val="0"/>
          <w:sz w:val="24"/>
          <w:szCs w:val="24"/>
          <w:lang w:eastAsia="en-US"/>
        </w:rPr>
        <w:t>Предотвращение и защита от взрыва. Часть 1. Основные концепции и методология</w:t>
      </w:r>
      <w:r w:rsidRPr="00DF1450">
        <w:rPr>
          <w:rStyle w:val="FontStyle56"/>
          <w:sz w:val="24"/>
          <w:szCs w:val="24"/>
          <w:lang w:eastAsia="en-US"/>
        </w:rPr>
        <w:t>)</w:t>
      </w:r>
    </w:p>
    <w:p w:rsidR="00DF1450" w:rsidRPr="00DF1450" w:rsidRDefault="00DF1450" w:rsidP="00DF1450">
      <w:pPr>
        <w:pStyle w:val="Style36"/>
        <w:widowControl/>
        <w:ind w:firstLine="567"/>
        <w:jc w:val="both"/>
        <w:rPr>
          <w:rStyle w:val="FontStyle56"/>
          <w:sz w:val="24"/>
          <w:szCs w:val="24"/>
          <w:lang w:eastAsia="en-US"/>
        </w:rPr>
      </w:pPr>
      <w:r w:rsidRPr="00DF1450">
        <w:rPr>
          <w:rStyle w:val="FontStyle57"/>
          <w:sz w:val="24"/>
          <w:szCs w:val="24"/>
          <w:lang w:val="en-US" w:eastAsia="en-US"/>
        </w:rPr>
        <w:t xml:space="preserve">EN 13237:2003, </w:t>
      </w:r>
      <w:r w:rsidRPr="00DF1450">
        <w:rPr>
          <w:lang w:val="en-US"/>
        </w:rPr>
        <w:t>Potentially explosive atmospheres — Terms and definitions for equipment and protective systems intended for use in potentially explosive atmospheres (</w:t>
      </w:r>
      <w:r w:rsidRPr="00DF1450">
        <w:rPr>
          <w:rStyle w:val="FontStyle56"/>
          <w:i w:val="0"/>
          <w:sz w:val="24"/>
          <w:szCs w:val="24"/>
          <w:lang w:eastAsia="en-US"/>
        </w:rPr>
        <w:t>Потенциально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взрывоопасная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атмосфера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Pr="00DF1450">
        <w:rPr>
          <w:rStyle w:val="FontStyle56"/>
          <w:i w:val="0"/>
          <w:sz w:val="24"/>
          <w:szCs w:val="24"/>
          <w:lang w:eastAsia="en-US"/>
        </w:rPr>
        <w:t>Термины и определения по оборудованию и защитным системам, предназначенным для использования в потенциально взрывоопасной атмосфере</w:t>
      </w:r>
      <w:r w:rsidRPr="00DF1450">
        <w:rPr>
          <w:rStyle w:val="FontStyle56"/>
          <w:sz w:val="24"/>
          <w:szCs w:val="24"/>
          <w:lang w:eastAsia="en-US"/>
        </w:rPr>
        <w:t>)</w:t>
      </w:r>
    </w:p>
    <w:p w:rsidR="00DF1450" w:rsidRPr="00DF1450" w:rsidRDefault="00DF1450" w:rsidP="00DF1450">
      <w:pPr>
        <w:pStyle w:val="Style36"/>
        <w:widowControl/>
        <w:ind w:firstLine="567"/>
        <w:jc w:val="both"/>
        <w:rPr>
          <w:rStyle w:val="FontStyle56"/>
          <w:sz w:val="24"/>
          <w:szCs w:val="24"/>
          <w:lang w:val="en-US" w:eastAsia="en-US"/>
        </w:rPr>
      </w:pPr>
      <w:r w:rsidRPr="00DF1450">
        <w:rPr>
          <w:rStyle w:val="FontStyle57"/>
          <w:sz w:val="24"/>
          <w:szCs w:val="24"/>
          <w:lang w:val="en-US" w:eastAsia="en-US"/>
        </w:rPr>
        <w:t xml:space="preserve">EN ISO 12100, </w:t>
      </w:r>
      <w:r w:rsidRPr="00DF1450">
        <w:rPr>
          <w:lang w:val="en-US"/>
        </w:rPr>
        <w:t>Safety of machinery — Basic concepts, general principles for design (</w:t>
      </w:r>
      <w:r w:rsidRPr="00DF1450">
        <w:rPr>
          <w:rStyle w:val="FontStyle56"/>
          <w:i w:val="0"/>
          <w:sz w:val="24"/>
          <w:szCs w:val="24"/>
          <w:lang w:eastAsia="en-US"/>
        </w:rPr>
        <w:t>Безопасность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машин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Pr="00DF1450">
        <w:rPr>
          <w:rStyle w:val="FontStyle56"/>
          <w:i w:val="0"/>
          <w:sz w:val="24"/>
          <w:szCs w:val="24"/>
          <w:lang w:eastAsia="en-US"/>
        </w:rPr>
        <w:t>Основные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понятия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, </w:t>
      </w:r>
      <w:r w:rsidRPr="00DF1450">
        <w:rPr>
          <w:rStyle w:val="FontStyle56"/>
          <w:i w:val="0"/>
          <w:sz w:val="24"/>
          <w:szCs w:val="24"/>
          <w:lang w:eastAsia="en-US"/>
        </w:rPr>
        <w:t>общие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принципы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конструирования</w:t>
      </w:r>
      <w:r w:rsidRPr="00DF1450">
        <w:rPr>
          <w:rStyle w:val="FontStyle56"/>
          <w:sz w:val="24"/>
          <w:szCs w:val="24"/>
          <w:lang w:val="en-US" w:eastAsia="en-US"/>
        </w:rPr>
        <w:t>)</w:t>
      </w:r>
    </w:p>
    <w:p w:rsidR="00DF1450" w:rsidRPr="00DF1450" w:rsidRDefault="00DF1450" w:rsidP="00DF1450">
      <w:pPr>
        <w:pStyle w:val="Style36"/>
        <w:widowControl/>
        <w:ind w:firstLine="567"/>
        <w:jc w:val="both"/>
        <w:rPr>
          <w:rStyle w:val="FontStyle56"/>
          <w:sz w:val="24"/>
          <w:szCs w:val="24"/>
          <w:lang w:eastAsia="en-US"/>
        </w:rPr>
      </w:pPr>
      <w:r w:rsidRPr="00DF1450">
        <w:rPr>
          <w:rStyle w:val="FontStyle57"/>
          <w:sz w:val="24"/>
          <w:szCs w:val="24"/>
          <w:lang w:val="en-US" w:eastAsia="en-US"/>
        </w:rPr>
        <w:t xml:space="preserve">ISO 3864-1:2002, </w:t>
      </w:r>
      <w:r w:rsidRPr="00DF1450">
        <w:rPr>
          <w:lang w:val="en-US"/>
        </w:rPr>
        <w:t xml:space="preserve">Graphical symbols — Safety </w:t>
      </w:r>
      <w:proofErr w:type="spellStart"/>
      <w:r w:rsidRPr="00DF1450">
        <w:rPr>
          <w:lang w:val="en-US"/>
        </w:rPr>
        <w:t>colours</w:t>
      </w:r>
      <w:proofErr w:type="spellEnd"/>
      <w:r w:rsidRPr="00DF1450">
        <w:rPr>
          <w:lang w:val="en-US"/>
        </w:rPr>
        <w:t xml:space="preserve"> and safety signs — Part 1: Design principles for safety signs in workplaces and public areas (</w:t>
      </w:r>
      <w:r w:rsidRPr="00DF1450">
        <w:rPr>
          <w:rStyle w:val="FontStyle56"/>
          <w:i w:val="0"/>
          <w:sz w:val="24"/>
          <w:szCs w:val="24"/>
          <w:lang w:eastAsia="en-US"/>
        </w:rPr>
        <w:t>Символы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 </w:t>
      </w:r>
      <w:r w:rsidRPr="00DF1450">
        <w:rPr>
          <w:rStyle w:val="FontStyle56"/>
          <w:i w:val="0"/>
          <w:sz w:val="24"/>
          <w:szCs w:val="24"/>
          <w:lang w:eastAsia="en-US"/>
        </w:rPr>
        <w:t>графические</w:t>
      </w:r>
      <w:r w:rsidRPr="00DF1450">
        <w:rPr>
          <w:rStyle w:val="FontStyle56"/>
          <w:i w:val="0"/>
          <w:sz w:val="24"/>
          <w:szCs w:val="24"/>
          <w:lang w:val="en-US" w:eastAsia="en-US"/>
        </w:rPr>
        <w:t xml:space="preserve">. </w:t>
      </w:r>
      <w:r w:rsidRPr="00DF1450">
        <w:rPr>
          <w:rStyle w:val="FontStyle56"/>
          <w:i w:val="0"/>
          <w:sz w:val="24"/>
          <w:szCs w:val="24"/>
          <w:lang w:eastAsia="en-US"/>
        </w:rPr>
        <w:t>Цвета и знаки безопасности. Часть 1. Принципы проектирования для знаков безопасности на рабочих местах и в общественных местах</w:t>
      </w:r>
      <w:r w:rsidRPr="00DF1450">
        <w:rPr>
          <w:rStyle w:val="FontStyle56"/>
          <w:sz w:val="24"/>
          <w:szCs w:val="24"/>
          <w:lang w:eastAsia="en-US"/>
        </w:rPr>
        <w:t>)</w:t>
      </w:r>
    </w:p>
    <w:p w:rsidR="000E6071" w:rsidRPr="00DA4600" w:rsidRDefault="000E6071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 xml:space="preserve">5 Предложения по изменению, пересмотру или отмене межгосударственных стандартов, правил и рекомендаций по </w:t>
      </w:r>
      <w:r w:rsidRPr="00BB3AFF">
        <w:rPr>
          <w:rFonts w:ascii="Arial" w:hAnsi="Arial" w:cs="Arial"/>
          <w:b/>
          <w:sz w:val="24"/>
          <w:szCs w:val="24"/>
        </w:rPr>
        <w:lastRenderedPageBreak/>
        <w:t>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38101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38101F" w:rsidRDefault="0038101F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38101F">
        <w:rPr>
          <w:rFonts w:ascii="Arial" w:hAnsi="Arial" w:cs="Arial"/>
          <w:sz w:val="24"/>
          <w:szCs w:val="24"/>
          <w:lang w:val="en-US"/>
        </w:rPr>
        <w:t>EN</w:t>
      </w:r>
      <w:r w:rsidRPr="0038101F">
        <w:rPr>
          <w:rFonts w:ascii="Arial" w:hAnsi="Arial" w:cs="Arial"/>
          <w:sz w:val="24"/>
          <w:szCs w:val="24"/>
        </w:rPr>
        <w:t xml:space="preserve"> 12757-1:2005+A1:2010 «Машины для смешивания материалов для покрытий. Требования безопасности. Часть 1. Машины для смешивания, используемые для повторной отделки автомобиля» («</w:t>
      </w:r>
      <w:r w:rsidRPr="0038101F">
        <w:rPr>
          <w:rFonts w:ascii="Arial" w:hAnsi="Arial" w:cs="Arial"/>
          <w:sz w:val="24"/>
          <w:szCs w:val="24"/>
          <w:lang w:val="en-US"/>
        </w:rPr>
        <w:t>Mixing</w:t>
      </w:r>
      <w:r w:rsidRPr="0038101F">
        <w:rPr>
          <w:rFonts w:ascii="Arial" w:hAnsi="Arial" w:cs="Arial"/>
          <w:sz w:val="24"/>
          <w:szCs w:val="24"/>
        </w:rPr>
        <w:t xml:space="preserve"> </w:t>
      </w:r>
      <w:r w:rsidRPr="0038101F">
        <w:rPr>
          <w:rFonts w:ascii="Arial" w:hAnsi="Arial" w:cs="Arial"/>
          <w:sz w:val="24"/>
          <w:szCs w:val="24"/>
          <w:lang w:val="en-US"/>
        </w:rPr>
        <w:t>machinery</w:t>
      </w:r>
      <w:r w:rsidRPr="0038101F">
        <w:rPr>
          <w:rFonts w:ascii="Arial" w:hAnsi="Arial" w:cs="Arial"/>
          <w:sz w:val="24"/>
          <w:szCs w:val="24"/>
        </w:rPr>
        <w:t xml:space="preserve"> </w:t>
      </w:r>
      <w:r w:rsidRPr="0038101F">
        <w:rPr>
          <w:rFonts w:ascii="Arial" w:hAnsi="Arial" w:cs="Arial"/>
          <w:sz w:val="24"/>
          <w:szCs w:val="24"/>
          <w:lang w:val="en-US"/>
        </w:rPr>
        <w:t>for</w:t>
      </w:r>
      <w:r w:rsidRPr="0038101F">
        <w:rPr>
          <w:rFonts w:ascii="Arial" w:hAnsi="Arial" w:cs="Arial"/>
          <w:sz w:val="24"/>
          <w:szCs w:val="24"/>
        </w:rPr>
        <w:t xml:space="preserve"> </w:t>
      </w:r>
      <w:r w:rsidRPr="0038101F">
        <w:rPr>
          <w:rFonts w:ascii="Arial" w:hAnsi="Arial" w:cs="Arial"/>
          <w:sz w:val="24"/>
          <w:szCs w:val="24"/>
          <w:lang w:val="en-US"/>
        </w:rPr>
        <w:t>coating</w:t>
      </w:r>
      <w:r w:rsidRPr="0038101F">
        <w:rPr>
          <w:rFonts w:ascii="Arial" w:hAnsi="Arial" w:cs="Arial"/>
          <w:sz w:val="24"/>
          <w:szCs w:val="24"/>
        </w:rPr>
        <w:t xml:space="preserve"> </w:t>
      </w:r>
      <w:r w:rsidRPr="0038101F">
        <w:rPr>
          <w:rFonts w:ascii="Arial" w:hAnsi="Arial" w:cs="Arial"/>
          <w:sz w:val="24"/>
          <w:szCs w:val="24"/>
          <w:lang w:val="en-US"/>
        </w:rPr>
        <w:t>materials</w:t>
      </w:r>
      <w:r w:rsidRPr="0038101F">
        <w:rPr>
          <w:rFonts w:ascii="Arial" w:hAnsi="Arial" w:cs="Arial"/>
          <w:sz w:val="24"/>
          <w:szCs w:val="24"/>
        </w:rPr>
        <w:t xml:space="preserve"> - </w:t>
      </w:r>
      <w:r w:rsidRPr="0038101F">
        <w:rPr>
          <w:rFonts w:ascii="Arial" w:hAnsi="Arial" w:cs="Arial"/>
          <w:sz w:val="24"/>
          <w:szCs w:val="24"/>
          <w:lang w:val="en-US"/>
        </w:rPr>
        <w:t>Safety</w:t>
      </w:r>
      <w:r w:rsidRPr="0038101F">
        <w:rPr>
          <w:rFonts w:ascii="Arial" w:hAnsi="Arial" w:cs="Arial"/>
          <w:sz w:val="24"/>
          <w:szCs w:val="24"/>
        </w:rPr>
        <w:t xml:space="preserve"> </w:t>
      </w:r>
      <w:r w:rsidRPr="0038101F">
        <w:rPr>
          <w:rFonts w:ascii="Arial" w:hAnsi="Arial" w:cs="Arial"/>
          <w:sz w:val="24"/>
          <w:szCs w:val="24"/>
          <w:lang w:val="en-US"/>
        </w:rPr>
        <w:t>requirements</w:t>
      </w:r>
      <w:r w:rsidRPr="0038101F">
        <w:rPr>
          <w:rFonts w:ascii="Arial" w:hAnsi="Arial" w:cs="Arial"/>
          <w:sz w:val="24"/>
          <w:szCs w:val="24"/>
        </w:rPr>
        <w:t xml:space="preserve"> - </w:t>
      </w:r>
      <w:r w:rsidRPr="0038101F">
        <w:rPr>
          <w:rFonts w:ascii="Arial" w:hAnsi="Arial" w:cs="Arial"/>
          <w:sz w:val="24"/>
          <w:szCs w:val="24"/>
          <w:lang w:val="en-US"/>
        </w:rPr>
        <w:t>Part</w:t>
      </w:r>
      <w:r w:rsidRPr="0038101F">
        <w:rPr>
          <w:rFonts w:ascii="Arial" w:hAnsi="Arial" w:cs="Arial"/>
          <w:sz w:val="24"/>
          <w:szCs w:val="24"/>
        </w:rPr>
        <w:t xml:space="preserve"> 1: </w:t>
      </w:r>
      <w:r w:rsidRPr="0038101F">
        <w:rPr>
          <w:rFonts w:ascii="Arial" w:hAnsi="Arial" w:cs="Arial"/>
          <w:sz w:val="24"/>
          <w:szCs w:val="24"/>
          <w:lang w:val="en-US"/>
        </w:rPr>
        <w:t>Mixing</w:t>
      </w:r>
      <w:r w:rsidRPr="0038101F">
        <w:rPr>
          <w:rFonts w:ascii="Arial" w:hAnsi="Arial" w:cs="Arial"/>
          <w:sz w:val="24"/>
          <w:szCs w:val="24"/>
        </w:rPr>
        <w:t xml:space="preserve"> </w:t>
      </w:r>
      <w:r w:rsidRPr="0038101F">
        <w:rPr>
          <w:rFonts w:ascii="Arial" w:hAnsi="Arial" w:cs="Arial"/>
          <w:sz w:val="24"/>
          <w:szCs w:val="24"/>
          <w:lang w:val="en-US"/>
        </w:rPr>
        <w:t>machinery</w:t>
      </w:r>
      <w:r w:rsidRPr="0038101F">
        <w:rPr>
          <w:rFonts w:ascii="Arial" w:hAnsi="Arial" w:cs="Arial"/>
          <w:sz w:val="24"/>
          <w:szCs w:val="24"/>
        </w:rPr>
        <w:t xml:space="preserve"> </w:t>
      </w:r>
      <w:r w:rsidRPr="0038101F">
        <w:rPr>
          <w:rFonts w:ascii="Arial" w:hAnsi="Arial" w:cs="Arial"/>
          <w:sz w:val="24"/>
          <w:szCs w:val="24"/>
          <w:lang w:val="en-US"/>
        </w:rPr>
        <w:t>for</w:t>
      </w:r>
      <w:r w:rsidRPr="0038101F">
        <w:rPr>
          <w:rFonts w:ascii="Arial" w:hAnsi="Arial" w:cs="Arial"/>
          <w:sz w:val="24"/>
          <w:szCs w:val="24"/>
        </w:rPr>
        <w:t xml:space="preserve"> </w:t>
      </w:r>
      <w:r w:rsidRPr="0038101F">
        <w:rPr>
          <w:rFonts w:ascii="Arial" w:hAnsi="Arial" w:cs="Arial"/>
          <w:sz w:val="24"/>
          <w:szCs w:val="24"/>
          <w:lang w:val="en-US"/>
        </w:rPr>
        <w:t>use</w:t>
      </w:r>
      <w:r w:rsidRPr="0038101F">
        <w:rPr>
          <w:rFonts w:ascii="Arial" w:hAnsi="Arial" w:cs="Arial"/>
          <w:sz w:val="24"/>
          <w:szCs w:val="24"/>
        </w:rPr>
        <w:t xml:space="preserve"> </w:t>
      </w:r>
      <w:r w:rsidRPr="0038101F">
        <w:rPr>
          <w:rFonts w:ascii="Arial" w:hAnsi="Arial" w:cs="Arial"/>
          <w:sz w:val="24"/>
          <w:szCs w:val="24"/>
          <w:lang w:val="en-US"/>
        </w:rPr>
        <w:t>in</w:t>
      </w:r>
      <w:r w:rsidRPr="0038101F">
        <w:rPr>
          <w:rFonts w:ascii="Arial" w:hAnsi="Arial" w:cs="Arial"/>
          <w:sz w:val="24"/>
          <w:szCs w:val="24"/>
        </w:rPr>
        <w:t xml:space="preserve"> </w:t>
      </w:r>
      <w:r w:rsidRPr="0038101F">
        <w:rPr>
          <w:rFonts w:ascii="Arial" w:hAnsi="Arial" w:cs="Arial"/>
          <w:sz w:val="24"/>
          <w:szCs w:val="24"/>
          <w:lang w:val="en-US"/>
        </w:rPr>
        <w:t>vehicle</w:t>
      </w:r>
      <w:r w:rsidRPr="0038101F">
        <w:rPr>
          <w:rFonts w:ascii="Arial" w:hAnsi="Arial" w:cs="Arial"/>
          <w:sz w:val="24"/>
          <w:szCs w:val="24"/>
        </w:rPr>
        <w:t xml:space="preserve"> </w:t>
      </w:r>
      <w:r w:rsidRPr="0038101F">
        <w:rPr>
          <w:rFonts w:ascii="Arial" w:hAnsi="Arial" w:cs="Arial"/>
          <w:sz w:val="24"/>
          <w:szCs w:val="24"/>
          <w:lang w:val="en-US"/>
        </w:rPr>
        <w:t>refinishing</w:t>
      </w:r>
      <w:r w:rsidRPr="0038101F">
        <w:rPr>
          <w:rFonts w:ascii="Arial" w:hAnsi="Arial" w:cs="Arial"/>
          <w:sz w:val="24"/>
          <w:szCs w:val="24"/>
        </w:rPr>
        <w:t>»)</w:t>
      </w:r>
    </w:p>
    <w:p w:rsidR="00B846BC" w:rsidRPr="0038101F" w:rsidRDefault="00B846BC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CB56E4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2" w:name="_Hlk72746680"/>
      <w:r w:rsidRPr="00714ECC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2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1A2E60">
        <w:fldChar w:fldCharType="begin"/>
      </w:r>
      <w:r w:rsidR="001A2E60" w:rsidRPr="003C75E2">
        <w:rPr>
          <w:lang w:val="en-US"/>
        </w:rPr>
        <w:instrText xml:space="preserve"> HYPERLINK "mailto:info@ksm.kz" </w:instrText>
      </w:r>
      <w:r w:rsidR="001A2E60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1A2E60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BB3AFF">
      <w:pPr>
        <w:spacing w:line="240" w:lineRule="auto"/>
        <w:ind w:firstLine="567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2E60" w:rsidRDefault="001A2E60">
      <w:pPr>
        <w:spacing w:after="0" w:line="240" w:lineRule="auto"/>
      </w:pPr>
      <w:r>
        <w:separator/>
      </w:r>
    </w:p>
  </w:endnote>
  <w:endnote w:type="continuationSeparator" w:id="0">
    <w:p w:rsidR="001A2E60" w:rsidRDefault="001A2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450">
          <w:rPr>
            <w:noProof/>
          </w:rPr>
          <w:t>3</w:t>
        </w:r>
        <w:r>
          <w:fldChar w:fldCharType="end"/>
        </w:r>
      </w:p>
    </w:sdtContent>
  </w:sdt>
  <w:p w:rsidR="00A4133A" w:rsidRDefault="001A2E6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2E60" w:rsidRDefault="001A2E60">
      <w:pPr>
        <w:spacing w:after="0" w:line="240" w:lineRule="auto"/>
      </w:pPr>
      <w:r>
        <w:separator/>
      </w:r>
    </w:p>
  </w:footnote>
  <w:footnote w:type="continuationSeparator" w:id="0">
    <w:p w:rsidR="001A2E60" w:rsidRDefault="001A2E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E6071"/>
    <w:rsid w:val="001A2E60"/>
    <w:rsid w:val="00254FCC"/>
    <w:rsid w:val="002D1A93"/>
    <w:rsid w:val="0038101F"/>
    <w:rsid w:val="003B0974"/>
    <w:rsid w:val="003C75E2"/>
    <w:rsid w:val="004E5C41"/>
    <w:rsid w:val="0050612E"/>
    <w:rsid w:val="005E6AC3"/>
    <w:rsid w:val="005F2353"/>
    <w:rsid w:val="00604BEB"/>
    <w:rsid w:val="0060656A"/>
    <w:rsid w:val="006330F6"/>
    <w:rsid w:val="00633CB1"/>
    <w:rsid w:val="008A1704"/>
    <w:rsid w:val="008F1444"/>
    <w:rsid w:val="009970C9"/>
    <w:rsid w:val="00B846BC"/>
    <w:rsid w:val="00BB3AFF"/>
    <w:rsid w:val="00C7036A"/>
    <w:rsid w:val="00CB56E4"/>
    <w:rsid w:val="00D920C0"/>
    <w:rsid w:val="00DA4600"/>
    <w:rsid w:val="00DF1450"/>
    <w:rsid w:val="00EF2AFD"/>
    <w:rsid w:val="00F47FF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8035D2F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8</cp:revision>
  <dcterms:created xsi:type="dcterms:W3CDTF">2022-05-23T10:43:00Z</dcterms:created>
  <dcterms:modified xsi:type="dcterms:W3CDTF">2022-05-24T03:52:00Z</dcterms:modified>
</cp:coreProperties>
</file>